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1F6BD" w14:textId="77777777" w:rsidR="00F55877" w:rsidRDefault="00000000">
      <w:pPr>
        <w:pStyle w:val="Heading1"/>
        <w:jc w:val="both"/>
        <w:rPr>
          <w:rFonts w:ascii="Open Sans" w:eastAsia="Open Sans" w:hAnsi="Open Sans" w:cs="Open Sans"/>
          <w:b/>
          <w:color w:val="004B88"/>
          <w:sz w:val="34"/>
          <w:szCs w:val="34"/>
        </w:rPr>
      </w:pPr>
      <w:bookmarkStart w:id="0" w:name="_xansoegnwsb0" w:colFirst="0" w:colLast="0"/>
      <w:bookmarkEnd w:id="0"/>
      <w:r>
        <w:rPr>
          <w:rFonts w:ascii="Open Sans" w:eastAsia="Open Sans" w:hAnsi="Open Sans" w:cs="Open Sans"/>
          <w:b/>
          <w:color w:val="004B88"/>
          <w:sz w:val="34"/>
          <w:szCs w:val="34"/>
        </w:rPr>
        <w:t xml:space="preserve">Autumn Budget 2025 - MP briefing </w:t>
      </w:r>
      <w:r>
        <w:rPr>
          <w:noProof/>
        </w:rPr>
        <w:drawing>
          <wp:anchor distT="114300" distB="114300" distL="114300" distR="114300" simplePos="0" relativeHeight="251658240" behindDoc="0" locked="0" layoutInCell="1" hidden="0" allowOverlap="1" wp14:anchorId="738C3643" wp14:editId="650AA7B7">
            <wp:simplePos x="0" y="0"/>
            <wp:positionH relativeFrom="column">
              <wp:posOffset>1</wp:posOffset>
            </wp:positionH>
            <wp:positionV relativeFrom="paragraph">
              <wp:posOffset>114300</wp:posOffset>
            </wp:positionV>
            <wp:extent cx="904988" cy="90498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04988" cy="904988"/>
                    </a:xfrm>
                    <a:prstGeom prst="rect">
                      <a:avLst/>
                    </a:prstGeom>
                    <a:ln/>
                  </pic:spPr>
                </pic:pic>
              </a:graphicData>
            </a:graphic>
          </wp:anchor>
        </w:drawing>
      </w:r>
    </w:p>
    <w:p w14:paraId="5883A4CC" w14:textId="77777777" w:rsidR="00F55877" w:rsidRDefault="00F55877"/>
    <w:p w14:paraId="4D5614C7" w14:textId="77777777" w:rsidR="00F55877" w:rsidRDefault="00F55877"/>
    <w:p w14:paraId="7A67FAFE" w14:textId="77777777" w:rsidR="00F55877" w:rsidRDefault="00F55877">
      <w:pPr>
        <w:widowControl w:val="0"/>
        <w:spacing w:line="240" w:lineRule="auto"/>
        <w:jc w:val="both"/>
      </w:pPr>
    </w:p>
    <w:tbl>
      <w:tblPr>
        <w:tblStyle w:val="a"/>
        <w:tblW w:w="9345" w:type="dxa"/>
        <w:tblInd w:w="0" w:type="dxa"/>
        <w:tblBorders>
          <w:top w:val="single" w:sz="8" w:space="0" w:color="FCBB69"/>
          <w:left w:val="single" w:sz="8" w:space="0" w:color="FCBB69"/>
          <w:bottom w:val="single" w:sz="8" w:space="0" w:color="FCBB69"/>
          <w:right w:val="single" w:sz="8" w:space="0" w:color="FCBB69"/>
          <w:insideH w:val="single" w:sz="8" w:space="0" w:color="FCBB69"/>
          <w:insideV w:val="single" w:sz="8" w:space="0" w:color="FCBB69"/>
        </w:tblBorders>
        <w:tblLayout w:type="fixed"/>
        <w:tblLook w:val="0600" w:firstRow="0" w:lastRow="0" w:firstColumn="0" w:lastColumn="0" w:noHBand="1" w:noVBand="1"/>
      </w:tblPr>
      <w:tblGrid>
        <w:gridCol w:w="9345"/>
      </w:tblGrid>
      <w:tr w:rsidR="00F55877" w14:paraId="7DCE8E0A" w14:textId="77777777">
        <w:trPr>
          <w:trHeight w:val="5070"/>
        </w:trPr>
        <w:tc>
          <w:tcPr>
            <w:tcW w:w="9345" w:type="dxa"/>
            <w:shd w:val="clear" w:color="auto" w:fill="FCBB69"/>
            <w:tcMar>
              <w:top w:w="100" w:type="dxa"/>
              <w:left w:w="100" w:type="dxa"/>
              <w:bottom w:w="100" w:type="dxa"/>
              <w:right w:w="100" w:type="dxa"/>
            </w:tcMar>
          </w:tcPr>
          <w:p w14:paraId="0214E746" w14:textId="77777777" w:rsidR="00F55877" w:rsidRDefault="00000000">
            <w:pPr>
              <w:spacing w:line="240" w:lineRule="auto"/>
              <w:jc w:val="both"/>
              <w:rPr>
                <w:rFonts w:ascii="Open Sans" w:eastAsia="Open Sans" w:hAnsi="Open Sans" w:cs="Open Sans"/>
                <w:color w:val="004B88"/>
                <w:sz w:val="21"/>
                <w:szCs w:val="21"/>
              </w:rPr>
            </w:pPr>
            <w:r>
              <w:rPr>
                <w:rFonts w:ascii="Open Sans" w:eastAsia="Open Sans" w:hAnsi="Open Sans" w:cs="Open Sans"/>
                <w:color w:val="004B88"/>
                <w:sz w:val="21"/>
                <w:szCs w:val="21"/>
              </w:rPr>
              <w:t xml:space="preserve">For 80 years Citizens Advice has helped people who’ve fallen </w:t>
            </w:r>
            <w:proofErr w:type="gramStart"/>
            <w:r>
              <w:rPr>
                <w:rFonts w:ascii="Open Sans" w:eastAsia="Open Sans" w:hAnsi="Open Sans" w:cs="Open Sans"/>
                <w:color w:val="004B88"/>
                <w:sz w:val="21"/>
                <w:szCs w:val="21"/>
              </w:rPr>
              <w:t>on</w:t>
            </w:r>
            <w:proofErr w:type="gramEnd"/>
            <w:r>
              <w:rPr>
                <w:rFonts w:ascii="Open Sans" w:eastAsia="Open Sans" w:hAnsi="Open Sans" w:cs="Open Sans"/>
                <w:color w:val="004B88"/>
                <w:sz w:val="21"/>
                <w:szCs w:val="21"/>
              </w:rPr>
              <w:t xml:space="preserve"> hard times get back on their feet. We’ve always been here for everyone - whoever they are, whatever their problem. Our experience and expertise </w:t>
            </w:r>
            <w:proofErr w:type="gramStart"/>
            <w:r>
              <w:rPr>
                <w:rFonts w:ascii="Open Sans" w:eastAsia="Open Sans" w:hAnsi="Open Sans" w:cs="Open Sans"/>
                <w:color w:val="004B88"/>
                <w:sz w:val="21"/>
                <w:szCs w:val="21"/>
              </w:rPr>
              <w:t>equips</w:t>
            </w:r>
            <w:proofErr w:type="gramEnd"/>
            <w:r>
              <w:rPr>
                <w:rFonts w:ascii="Open Sans" w:eastAsia="Open Sans" w:hAnsi="Open Sans" w:cs="Open Sans"/>
                <w:color w:val="004B88"/>
                <w:sz w:val="21"/>
                <w:szCs w:val="21"/>
              </w:rPr>
              <w:t xml:space="preserve"> people to navigate an increasingly complex and challenging world. </w:t>
            </w:r>
          </w:p>
          <w:p w14:paraId="76F92BCA" w14:textId="77777777" w:rsidR="00F55877" w:rsidRDefault="00F55877">
            <w:pPr>
              <w:spacing w:line="240" w:lineRule="auto"/>
              <w:jc w:val="both"/>
              <w:rPr>
                <w:rFonts w:ascii="Open Sans" w:eastAsia="Open Sans" w:hAnsi="Open Sans" w:cs="Open Sans"/>
                <w:color w:val="004B88"/>
                <w:sz w:val="21"/>
                <w:szCs w:val="21"/>
              </w:rPr>
            </w:pPr>
          </w:p>
          <w:p w14:paraId="5011C98A" w14:textId="77777777" w:rsidR="00F55877" w:rsidRDefault="00000000">
            <w:pPr>
              <w:spacing w:line="240" w:lineRule="auto"/>
              <w:jc w:val="both"/>
              <w:rPr>
                <w:rFonts w:ascii="Open Sans" w:eastAsia="Open Sans" w:hAnsi="Open Sans" w:cs="Open Sans"/>
                <w:color w:val="004B88"/>
                <w:sz w:val="21"/>
                <w:szCs w:val="21"/>
              </w:rPr>
            </w:pPr>
            <w:r>
              <w:rPr>
                <w:rFonts w:ascii="Open Sans" w:eastAsia="Open Sans" w:hAnsi="Open Sans" w:cs="Open Sans"/>
                <w:color w:val="004B88"/>
                <w:sz w:val="21"/>
                <w:szCs w:val="21"/>
              </w:rPr>
              <w:t>But</w:t>
            </w:r>
            <w:r>
              <w:rPr>
                <w:rFonts w:ascii="Open Sans" w:eastAsia="Open Sans" w:hAnsi="Open Sans" w:cs="Open Sans"/>
                <w:b/>
                <w:color w:val="004B88"/>
                <w:sz w:val="21"/>
                <w:szCs w:val="21"/>
              </w:rPr>
              <w:t xml:space="preserve"> </w:t>
            </w:r>
            <w:r>
              <w:rPr>
                <w:rFonts w:ascii="Open Sans" w:eastAsia="Open Sans" w:hAnsi="Open Sans" w:cs="Open Sans"/>
                <w:color w:val="004B88"/>
                <w:sz w:val="21"/>
                <w:szCs w:val="21"/>
              </w:rPr>
              <w:t>the last few years have seen</w:t>
            </w:r>
            <w:r>
              <w:rPr>
                <w:rFonts w:ascii="Open Sans" w:eastAsia="Open Sans" w:hAnsi="Open Sans" w:cs="Open Sans"/>
                <w:b/>
                <w:color w:val="004B88"/>
                <w:sz w:val="21"/>
                <w:szCs w:val="21"/>
              </w:rPr>
              <w:t xml:space="preserve"> unprecedented demands being placed on our service, with millions of households struggling with a sustained squeeze </w:t>
            </w:r>
            <w:proofErr w:type="gramStart"/>
            <w:r>
              <w:rPr>
                <w:rFonts w:ascii="Open Sans" w:eastAsia="Open Sans" w:hAnsi="Open Sans" w:cs="Open Sans"/>
                <w:b/>
                <w:color w:val="004B88"/>
                <w:sz w:val="21"/>
                <w:szCs w:val="21"/>
              </w:rPr>
              <w:t>on</w:t>
            </w:r>
            <w:proofErr w:type="gramEnd"/>
            <w:r>
              <w:rPr>
                <w:rFonts w:ascii="Open Sans" w:eastAsia="Open Sans" w:hAnsi="Open Sans" w:cs="Open Sans"/>
                <w:b/>
                <w:color w:val="004B88"/>
                <w:sz w:val="21"/>
                <w:szCs w:val="21"/>
              </w:rPr>
              <w:t xml:space="preserve"> living standards</w:t>
            </w:r>
            <w:r>
              <w:rPr>
                <w:rFonts w:ascii="Open Sans" w:eastAsia="Open Sans" w:hAnsi="Open Sans" w:cs="Open Sans"/>
                <w:color w:val="004B88"/>
                <w:sz w:val="21"/>
                <w:szCs w:val="21"/>
              </w:rPr>
              <w:t xml:space="preserve">. </w:t>
            </w:r>
          </w:p>
          <w:p w14:paraId="556D85ED" w14:textId="77777777" w:rsidR="00F55877" w:rsidRDefault="00F55877">
            <w:pPr>
              <w:spacing w:line="240" w:lineRule="auto"/>
              <w:jc w:val="both"/>
              <w:rPr>
                <w:rFonts w:ascii="Open Sans" w:eastAsia="Open Sans" w:hAnsi="Open Sans" w:cs="Open Sans"/>
                <w:color w:val="004B88"/>
                <w:sz w:val="21"/>
                <w:szCs w:val="21"/>
              </w:rPr>
            </w:pPr>
          </w:p>
          <w:p w14:paraId="65B7CA49" w14:textId="77777777" w:rsidR="00F55877" w:rsidRDefault="00000000">
            <w:pPr>
              <w:spacing w:line="240" w:lineRule="auto"/>
              <w:jc w:val="both"/>
              <w:rPr>
                <w:rFonts w:ascii="Open Sans" w:eastAsia="Open Sans" w:hAnsi="Open Sans" w:cs="Open Sans"/>
                <w:color w:val="004B88"/>
                <w:sz w:val="21"/>
                <w:szCs w:val="21"/>
              </w:rPr>
            </w:pPr>
            <w:r>
              <w:rPr>
                <w:rFonts w:ascii="Open Sans" w:eastAsia="Open Sans" w:hAnsi="Open Sans" w:cs="Open Sans"/>
                <w:b/>
                <w:color w:val="004B88"/>
                <w:sz w:val="21"/>
                <w:szCs w:val="21"/>
              </w:rPr>
              <w:t xml:space="preserve">200,000 people seek our help each month with </w:t>
            </w:r>
            <w:proofErr w:type="gramStart"/>
            <w:r>
              <w:rPr>
                <w:rFonts w:ascii="Open Sans" w:eastAsia="Open Sans" w:hAnsi="Open Sans" w:cs="Open Sans"/>
                <w:b/>
                <w:color w:val="004B88"/>
                <w:sz w:val="21"/>
                <w:szCs w:val="21"/>
              </w:rPr>
              <w:t>cost of living</w:t>
            </w:r>
            <w:proofErr w:type="gramEnd"/>
            <w:r>
              <w:rPr>
                <w:rFonts w:ascii="Open Sans" w:eastAsia="Open Sans" w:hAnsi="Open Sans" w:cs="Open Sans"/>
                <w:b/>
                <w:color w:val="004B88"/>
                <w:sz w:val="21"/>
                <w:szCs w:val="21"/>
              </w:rPr>
              <w:t xml:space="preserve"> essentials</w:t>
            </w:r>
            <w:r>
              <w:rPr>
                <w:rFonts w:ascii="Open Sans" w:eastAsia="Open Sans" w:hAnsi="Open Sans" w:cs="Open Sans"/>
                <w:color w:val="004B88"/>
                <w:sz w:val="21"/>
                <w:szCs w:val="21"/>
              </w:rPr>
              <w:t xml:space="preserve">. Over half the people we help with debt advice are still in a negative budget, where their income isn’t enough to cover their costs, even after expert advice. Our data shows that private renters and people with children are some of the most likely to face a negative budget. </w:t>
            </w:r>
          </w:p>
          <w:p w14:paraId="56D82FA8" w14:textId="77777777" w:rsidR="00F55877" w:rsidRDefault="00F55877">
            <w:pPr>
              <w:spacing w:line="240" w:lineRule="auto"/>
              <w:jc w:val="both"/>
              <w:rPr>
                <w:rFonts w:ascii="Open Sans" w:eastAsia="Open Sans" w:hAnsi="Open Sans" w:cs="Open Sans"/>
                <w:color w:val="004B88"/>
                <w:sz w:val="21"/>
                <w:szCs w:val="21"/>
              </w:rPr>
            </w:pPr>
          </w:p>
          <w:p w14:paraId="3EA91167" w14:textId="77777777" w:rsidR="00F55877" w:rsidRDefault="00000000">
            <w:pPr>
              <w:spacing w:line="240" w:lineRule="auto"/>
              <w:jc w:val="both"/>
              <w:rPr>
                <w:rFonts w:ascii="Open Sans" w:eastAsia="Open Sans" w:hAnsi="Open Sans" w:cs="Open Sans"/>
                <w:color w:val="1C4587"/>
                <w:sz w:val="21"/>
                <w:szCs w:val="21"/>
              </w:rPr>
            </w:pPr>
            <w:r>
              <w:rPr>
                <w:rFonts w:ascii="Open Sans" w:eastAsia="Open Sans" w:hAnsi="Open Sans" w:cs="Open Sans"/>
                <w:color w:val="004B88"/>
                <w:sz w:val="21"/>
                <w:szCs w:val="21"/>
              </w:rPr>
              <w:t xml:space="preserve">On 26 November 2025, </w:t>
            </w:r>
            <w:r>
              <w:rPr>
                <w:rFonts w:ascii="Open Sans" w:eastAsia="Open Sans" w:hAnsi="Open Sans" w:cs="Open Sans"/>
                <w:b/>
                <w:color w:val="004B88"/>
                <w:sz w:val="21"/>
                <w:szCs w:val="21"/>
              </w:rPr>
              <w:t xml:space="preserve">the Chancellor </w:t>
            </w:r>
            <w:proofErr w:type="gramStart"/>
            <w:r>
              <w:rPr>
                <w:rFonts w:ascii="Open Sans" w:eastAsia="Open Sans" w:hAnsi="Open Sans" w:cs="Open Sans"/>
                <w:b/>
                <w:color w:val="004B88"/>
                <w:sz w:val="21"/>
                <w:szCs w:val="21"/>
              </w:rPr>
              <w:t>has the opportunity to</w:t>
            </w:r>
            <w:proofErr w:type="gramEnd"/>
            <w:r>
              <w:rPr>
                <w:rFonts w:ascii="Open Sans" w:eastAsia="Open Sans" w:hAnsi="Open Sans" w:cs="Open Sans"/>
                <w:b/>
                <w:color w:val="004B88"/>
                <w:sz w:val="21"/>
                <w:szCs w:val="21"/>
              </w:rPr>
              <w:t xml:space="preserve"> step in and help alleviate some of this hardship</w:t>
            </w:r>
            <w:r>
              <w:rPr>
                <w:rFonts w:ascii="Open Sans" w:eastAsia="Open Sans" w:hAnsi="Open Sans" w:cs="Open Sans"/>
                <w:color w:val="004B88"/>
                <w:sz w:val="21"/>
                <w:szCs w:val="21"/>
              </w:rPr>
              <w:t xml:space="preserve">. </w:t>
            </w:r>
          </w:p>
          <w:p w14:paraId="770D804B" w14:textId="77777777" w:rsidR="00F55877" w:rsidRDefault="00F55877">
            <w:pPr>
              <w:spacing w:line="240" w:lineRule="auto"/>
              <w:jc w:val="both"/>
              <w:rPr>
                <w:rFonts w:ascii="Open Sans" w:eastAsia="Open Sans" w:hAnsi="Open Sans" w:cs="Open Sans"/>
                <w:color w:val="1C4587"/>
                <w:sz w:val="21"/>
                <w:szCs w:val="21"/>
              </w:rPr>
            </w:pPr>
          </w:p>
          <w:p w14:paraId="5BFFC251" w14:textId="77777777" w:rsidR="00F55877" w:rsidRDefault="00000000">
            <w:pPr>
              <w:spacing w:line="240" w:lineRule="auto"/>
              <w:jc w:val="both"/>
              <w:rPr>
                <w:rFonts w:ascii="Open Sans" w:eastAsia="Open Sans" w:hAnsi="Open Sans" w:cs="Open Sans"/>
                <w:color w:val="004B88"/>
                <w:sz w:val="21"/>
                <w:szCs w:val="21"/>
              </w:rPr>
            </w:pPr>
            <w:r>
              <w:rPr>
                <w:rFonts w:ascii="Open Sans" w:eastAsia="Open Sans" w:hAnsi="Open Sans" w:cs="Open Sans"/>
                <w:b/>
                <w:color w:val="004B88"/>
                <w:sz w:val="21"/>
                <w:szCs w:val="21"/>
              </w:rPr>
              <w:t>We’re calling on the government to immediately commit to three things in the Autumn Budget</w:t>
            </w:r>
            <w:r>
              <w:rPr>
                <w:rFonts w:ascii="Open Sans" w:eastAsia="Open Sans" w:hAnsi="Open Sans" w:cs="Open Sans"/>
                <w:color w:val="004B88"/>
                <w:sz w:val="21"/>
                <w:szCs w:val="21"/>
              </w:rPr>
              <w:t>:</w:t>
            </w:r>
          </w:p>
        </w:tc>
      </w:tr>
    </w:tbl>
    <w:p w14:paraId="782C160F" w14:textId="77777777" w:rsidR="00F55877" w:rsidRDefault="00000000">
      <w:pPr>
        <w:jc w:val="both"/>
        <w:rPr>
          <w:rFonts w:ascii="Open Sans" w:eastAsia="Open Sans" w:hAnsi="Open Sans" w:cs="Open Sans"/>
          <w:color w:val="004B88"/>
        </w:rPr>
      </w:pPr>
      <w:r>
        <w:rPr>
          <w:noProof/>
        </w:rPr>
        <w:drawing>
          <wp:anchor distT="19050" distB="19050" distL="19050" distR="19050" simplePos="0" relativeHeight="251659264" behindDoc="0" locked="0" layoutInCell="1" hidden="0" allowOverlap="1" wp14:anchorId="64D10F97" wp14:editId="434FF437">
            <wp:simplePos x="0" y="0"/>
            <wp:positionH relativeFrom="column">
              <wp:posOffset>-114299</wp:posOffset>
            </wp:positionH>
            <wp:positionV relativeFrom="paragraph">
              <wp:posOffset>218783</wp:posOffset>
            </wp:positionV>
            <wp:extent cx="478190" cy="478190"/>
            <wp:effectExtent l="0" t="0" r="0" b="0"/>
            <wp:wrapSquare wrapText="bothSides" distT="19050" distB="19050" distL="19050" distR="1905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478190" cy="478190"/>
                    </a:xfrm>
                    <a:prstGeom prst="rect">
                      <a:avLst/>
                    </a:prstGeom>
                    <a:ln/>
                  </pic:spPr>
                </pic:pic>
              </a:graphicData>
            </a:graphic>
          </wp:anchor>
        </w:drawing>
      </w:r>
    </w:p>
    <w:p w14:paraId="4E57242D" w14:textId="77777777" w:rsidR="00F55877" w:rsidRDefault="00000000">
      <w:pPr>
        <w:ind w:left="720"/>
        <w:rPr>
          <w:rFonts w:ascii="Open Sans" w:eastAsia="Open Sans" w:hAnsi="Open Sans" w:cs="Open Sans"/>
          <w:b/>
          <w:color w:val="004B88"/>
          <w:sz w:val="24"/>
          <w:szCs w:val="24"/>
        </w:rPr>
      </w:pPr>
      <w:r>
        <w:rPr>
          <w:rFonts w:ascii="Open Sans" w:eastAsia="Open Sans" w:hAnsi="Open Sans" w:cs="Open Sans"/>
          <w:b/>
          <w:color w:val="004B88"/>
          <w:sz w:val="24"/>
          <w:szCs w:val="24"/>
        </w:rPr>
        <w:t xml:space="preserve">Uprate Local Housing Allowance in line with 30th percentile of local market rent </w:t>
      </w:r>
    </w:p>
    <w:p w14:paraId="0013AD64" w14:textId="77777777" w:rsidR="00F55877" w:rsidRDefault="00000000">
      <w:pPr>
        <w:spacing w:before="200"/>
        <w:rPr>
          <w:rFonts w:ascii="Open Sans" w:eastAsia="Open Sans" w:hAnsi="Open Sans" w:cs="Open Sans"/>
          <w:color w:val="004B88"/>
        </w:rPr>
      </w:pPr>
      <w:r>
        <w:rPr>
          <w:rFonts w:ascii="Open Sans" w:eastAsia="Open Sans" w:hAnsi="Open Sans" w:cs="Open Sans"/>
          <w:color w:val="004B88"/>
        </w:rPr>
        <w:t xml:space="preserve">Housing is consistently one of the top issues our advisers support people with. We are supporting record numbers of people with homelessness and seeing a steep increase in the number of people coming to us for support with temporary accommodation. </w:t>
      </w:r>
    </w:p>
    <w:p w14:paraId="0DEF7D0B" w14:textId="77777777" w:rsidR="00F55877" w:rsidRDefault="00000000">
      <w:pPr>
        <w:shd w:val="clear" w:color="auto" w:fill="FFFFFF"/>
        <w:spacing w:before="280"/>
        <w:rPr>
          <w:rFonts w:ascii="Open Sans" w:eastAsia="Open Sans" w:hAnsi="Open Sans" w:cs="Open Sans"/>
          <w:color w:val="004B88"/>
        </w:rPr>
      </w:pPr>
      <w:hyperlink r:id="rId7">
        <w:r>
          <w:rPr>
            <w:rFonts w:ascii="Open Sans" w:eastAsia="Open Sans" w:hAnsi="Open Sans" w:cs="Open Sans"/>
            <w:color w:val="004B88"/>
            <w:u w:val="single"/>
          </w:rPr>
          <w:t xml:space="preserve">Local Housing Allowance (LHA) </w:t>
        </w:r>
      </w:hyperlink>
      <w:r>
        <w:rPr>
          <w:rFonts w:ascii="Open Sans" w:eastAsia="Open Sans" w:hAnsi="Open Sans" w:cs="Open Sans"/>
          <w:color w:val="004B88"/>
        </w:rPr>
        <w:t>has been reformed significantly since it was introduced in 2008. The highest-profile reforms have been to how the level of LHA has been set.</w:t>
      </w:r>
    </w:p>
    <w:p w14:paraId="379CCCD0" w14:textId="77777777" w:rsidR="00F55877" w:rsidRDefault="00000000">
      <w:pPr>
        <w:shd w:val="clear" w:color="auto" w:fill="FFFFFF"/>
        <w:spacing w:before="280"/>
        <w:rPr>
          <w:rFonts w:ascii="Open Sans" w:eastAsia="Open Sans" w:hAnsi="Open Sans" w:cs="Open Sans"/>
          <w:color w:val="004B88"/>
        </w:rPr>
      </w:pPr>
      <w:r>
        <w:rPr>
          <w:rFonts w:ascii="Open Sans" w:eastAsia="Open Sans" w:hAnsi="Open Sans" w:cs="Open Sans"/>
          <w:color w:val="004B88"/>
        </w:rPr>
        <w:t xml:space="preserve">Before April 2011, LHA was based on median rents of properties of the same size in each local area. The median (or 50th percentile) rent is the value at which half of rents are higher, and half of rents are lower. In April 2011, the level of LHA was reduced to the 30th percentile, so LHA would cover only the lower 30% of rents in each area.  This move simultaneously reduced the housing options available to potential tenants and increased the likelihood that renters would have to ‘top-up’ their housing benefit payments (including </w:t>
      </w:r>
      <w:r>
        <w:rPr>
          <w:rFonts w:ascii="Open Sans" w:eastAsia="Open Sans" w:hAnsi="Open Sans" w:cs="Open Sans"/>
          <w:color w:val="004B88"/>
        </w:rPr>
        <w:lastRenderedPageBreak/>
        <w:t xml:space="preserve">the housing element of universal credit) from other income, thus creating a shortfall elsewhere.  This is evidenced by the rise in the number of households claiming from their local authorities the Discretionary Housing Payments which are themselves due to be abolished at the end of this financial year. </w:t>
      </w:r>
    </w:p>
    <w:p w14:paraId="156A2971" w14:textId="77777777" w:rsidR="00F55877" w:rsidRDefault="00000000">
      <w:pPr>
        <w:shd w:val="clear" w:color="auto" w:fill="FFFFFF"/>
        <w:spacing w:before="280"/>
        <w:rPr>
          <w:rFonts w:ascii="Open Sans" w:eastAsia="Open Sans" w:hAnsi="Open Sans" w:cs="Open Sans"/>
          <w:color w:val="004B88"/>
        </w:rPr>
      </w:pPr>
      <w:r>
        <w:rPr>
          <w:rFonts w:ascii="Open Sans" w:eastAsia="Open Sans" w:hAnsi="Open Sans" w:cs="Open Sans"/>
          <w:color w:val="004B88"/>
        </w:rPr>
        <w:t>Since April 2012, there has been no automatic link between LHA levels and changing local rental prices. Instead, different uprating decisions have been made periodically, with no statutory or customary default.</w:t>
      </w:r>
    </w:p>
    <w:p w14:paraId="24C48834" w14:textId="77777777" w:rsidR="00F55877" w:rsidRDefault="00000000">
      <w:pPr>
        <w:spacing w:before="200"/>
        <w:rPr>
          <w:rFonts w:ascii="Open Sans" w:eastAsia="Open Sans" w:hAnsi="Open Sans" w:cs="Open Sans"/>
          <w:color w:val="004B88"/>
        </w:rPr>
      </w:pPr>
      <w:r>
        <w:rPr>
          <w:rFonts w:ascii="Open Sans" w:eastAsia="Open Sans" w:hAnsi="Open Sans" w:cs="Open Sans"/>
          <w:color w:val="004B88"/>
        </w:rPr>
        <w:t xml:space="preserve">To address housing unaffordability, Local Housing Allowance (LHA) must be uprated in line with the intended policy design, i.e. linked to the 30th percentile of local rent costs - and the government must make this link permanent so that LHA is uprated each year. LHA was last uprated in April 2024, but the benefits have been short lived. The average monthly deficit for our debt clients, on UC and living in the private rented sector, fell from £69.01 in the fourth quarter of 2023/24 to £44.47 by the second quarter of 2024/25. But since then, deficits have steadily increased again; in the first quarter of 2025/2026, the average monthly deficit for this group was £66.04. This is in part because average rents have risen by 13% since the current LHA rates were determined in September 2023. </w:t>
      </w:r>
    </w:p>
    <w:p w14:paraId="22A9F68E" w14:textId="77777777" w:rsidR="00F55877" w:rsidRDefault="00000000">
      <w:pPr>
        <w:ind w:left="992" w:hanging="141"/>
        <w:jc w:val="both"/>
        <w:rPr>
          <w:rFonts w:ascii="Open Sans" w:eastAsia="Open Sans" w:hAnsi="Open Sans" w:cs="Open Sans"/>
          <w:b/>
          <w:color w:val="004B88"/>
        </w:rPr>
      </w:pPr>
      <w:r>
        <w:rPr>
          <w:noProof/>
        </w:rPr>
        <w:drawing>
          <wp:anchor distT="19050" distB="19050" distL="19050" distR="19050" simplePos="0" relativeHeight="251660288" behindDoc="0" locked="0" layoutInCell="1" hidden="0" allowOverlap="1" wp14:anchorId="6D58AC15" wp14:editId="7DCE941E">
            <wp:simplePos x="0" y="0"/>
            <wp:positionH relativeFrom="column">
              <wp:posOffset>-114299</wp:posOffset>
            </wp:positionH>
            <wp:positionV relativeFrom="paragraph">
              <wp:posOffset>152400</wp:posOffset>
            </wp:positionV>
            <wp:extent cx="476250" cy="476250"/>
            <wp:effectExtent l="0" t="0" r="0" b="0"/>
            <wp:wrapSquare wrapText="bothSides" distT="19050" distB="19050" distL="19050" distR="190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6250" cy="476250"/>
                    </a:xfrm>
                    <a:prstGeom prst="rect">
                      <a:avLst/>
                    </a:prstGeom>
                    <a:ln/>
                  </pic:spPr>
                </pic:pic>
              </a:graphicData>
            </a:graphic>
          </wp:anchor>
        </w:drawing>
      </w:r>
    </w:p>
    <w:p w14:paraId="6D6459E2" w14:textId="77777777" w:rsidR="00F55877" w:rsidRDefault="00000000">
      <w:pPr>
        <w:spacing w:before="80" w:after="160"/>
        <w:ind w:left="720"/>
        <w:rPr>
          <w:rFonts w:ascii="Open Sans" w:eastAsia="Open Sans" w:hAnsi="Open Sans" w:cs="Open Sans"/>
          <w:b/>
          <w:color w:val="004B88"/>
          <w:sz w:val="24"/>
          <w:szCs w:val="24"/>
        </w:rPr>
      </w:pPr>
      <w:r>
        <w:rPr>
          <w:rFonts w:ascii="Open Sans" w:eastAsia="Open Sans" w:hAnsi="Open Sans" w:cs="Open Sans"/>
          <w:b/>
          <w:color w:val="004B88"/>
          <w:sz w:val="24"/>
          <w:szCs w:val="24"/>
        </w:rPr>
        <w:t>Scrap the two-child limit and benefit cap</w:t>
      </w:r>
    </w:p>
    <w:p w14:paraId="3DD92B10" w14:textId="77777777" w:rsidR="00F55877" w:rsidRDefault="00000000">
      <w:pPr>
        <w:spacing w:before="200"/>
        <w:rPr>
          <w:rFonts w:ascii="Open Sans" w:eastAsia="Open Sans" w:hAnsi="Open Sans" w:cs="Open Sans"/>
          <w:color w:val="004B88"/>
        </w:rPr>
      </w:pPr>
      <w:r>
        <w:rPr>
          <w:rFonts w:ascii="Open Sans" w:eastAsia="Open Sans" w:hAnsi="Open Sans" w:cs="Open Sans"/>
          <w:color w:val="004B88"/>
        </w:rPr>
        <w:t xml:space="preserve">The resounding message from our work for the Child Poverty Taskforce, and from our own data, is that scrapping the two-child limit and the Benefit Cap must be an urgent priority for the government this Autumn. These policies are among the biggest drivers of child poverty in the </w:t>
      </w:r>
      <w:proofErr w:type="gramStart"/>
      <w:r>
        <w:rPr>
          <w:rFonts w:ascii="Open Sans" w:eastAsia="Open Sans" w:hAnsi="Open Sans" w:cs="Open Sans"/>
          <w:color w:val="004B88"/>
        </w:rPr>
        <w:t>UK, and</w:t>
      </w:r>
      <w:proofErr w:type="gramEnd"/>
      <w:r>
        <w:rPr>
          <w:rFonts w:ascii="Open Sans" w:eastAsia="Open Sans" w:hAnsi="Open Sans" w:cs="Open Sans"/>
          <w:color w:val="004B88"/>
        </w:rPr>
        <w:t xml:space="preserve"> reversing them would be the most efficient way to lower child poverty levels. They arbitrarily reduce the money received by low-income families, disproportionately impacting children and, as a result, driving higher levels of child poverty. The design of the two-child limit means that it will continue to drive higher rates of child poverty, pushing a further 670,000 children into poverty by the end of this parliament. If the government is serious about its commitment to reduce child poverty, it must scrap these two policies. </w:t>
      </w:r>
    </w:p>
    <w:p w14:paraId="4F55D74F" w14:textId="77777777" w:rsidR="00F55877" w:rsidRDefault="00000000">
      <w:pPr>
        <w:ind w:left="992"/>
        <w:jc w:val="both"/>
        <w:rPr>
          <w:rFonts w:ascii="Open Sans" w:eastAsia="Open Sans" w:hAnsi="Open Sans" w:cs="Open Sans"/>
          <w:b/>
          <w:color w:val="004B88"/>
        </w:rPr>
      </w:pPr>
      <w:r>
        <w:rPr>
          <w:noProof/>
        </w:rPr>
        <w:drawing>
          <wp:anchor distT="19050" distB="19050" distL="19050" distR="19050" simplePos="0" relativeHeight="251661312" behindDoc="0" locked="0" layoutInCell="1" hidden="0" allowOverlap="1" wp14:anchorId="791531B7" wp14:editId="3D212C32">
            <wp:simplePos x="0" y="0"/>
            <wp:positionH relativeFrom="column">
              <wp:posOffset>-114299</wp:posOffset>
            </wp:positionH>
            <wp:positionV relativeFrom="paragraph">
              <wp:posOffset>85725</wp:posOffset>
            </wp:positionV>
            <wp:extent cx="476250" cy="476250"/>
            <wp:effectExtent l="0" t="0" r="0" b="0"/>
            <wp:wrapSquare wrapText="bothSides" distT="19050" distB="19050" distL="19050" distR="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6250" cy="476250"/>
                    </a:xfrm>
                    <a:prstGeom prst="rect">
                      <a:avLst/>
                    </a:prstGeom>
                    <a:ln/>
                  </pic:spPr>
                </pic:pic>
              </a:graphicData>
            </a:graphic>
          </wp:anchor>
        </w:drawing>
      </w:r>
    </w:p>
    <w:p w14:paraId="2B31CB04" w14:textId="77777777" w:rsidR="00F55877" w:rsidRDefault="00000000">
      <w:pPr>
        <w:jc w:val="both"/>
        <w:rPr>
          <w:rFonts w:ascii="Open Sans" w:eastAsia="Open Sans" w:hAnsi="Open Sans" w:cs="Open Sans"/>
          <w:b/>
          <w:color w:val="004B88"/>
        </w:rPr>
      </w:pPr>
      <w:r>
        <w:rPr>
          <w:rFonts w:ascii="Open Sans" w:eastAsia="Open Sans" w:hAnsi="Open Sans" w:cs="Open Sans"/>
          <w:b/>
          <w:color w:val="004B88"/>
        </w:rPr>
        <w:t xml:space="preserve"> </w:t>
      </w:r>
      <w:r>
        <w:rPr>
          <w:rFonts w:ascii="Open Sans" w:eastAsia="Open Sans" w:hAnsi="Open Sans" w:cs="Open Sans"/>
          <w:b/>
          <w:color w:val="004B88"/>
        </w:rPr>
        <w:tab/>
      </w:r>
      <w:r>
        <w:rPr>
          <w:rFonts w:ascii="Open Sans" w:eastAsia="Open Sans" w:hAnsi="Open Sans" w:cs="Open Sans"/>
          <w:b/>
          <w:color w:val="004B88"/>
          <w:sz w:val="24"/>
          <w:szCs w:val="24"/>
        </w:rPr>
        <w:t xml:space="preserve">Ensure </w:t>
      </w:r>
      <w:proofErr w:type="gramStart"/>
      <w:r>
        <w:rPr>
          <w:rFonts w:ascii="Open Sans" w:eastAsia="Open Sans" w:hAnsi="Open Sans" w:cs="Open Sans"/>
          <w:b/>
          <w:color w:val="004B88"/>
          <w:sz w:val="24"/>
          <w:szCs w:val="24"/>
        </w:rPr>
        <w:t>low income</w:t>
      </w:r>
      <w:proofErr w:type="gramEnd"/>
      <w:r>
        <w:rPr>
          <w:rFonts w:ascii="Open Sans" w:eastAsia="Open Sans" w:hAnsi="Open Sans" w:cs="Open Sans"/>
          <w:b/>
          <w:color w:val="004B88"/>
          <w:sz w:val="24"/>
          <w:szCs w:val="24"/>
        </w:rPr>
        <w:t xml:space="preserve"> families can cover essential utility bills</w:t>
      </w:r>
    </w:p>
    <w:p w14:paraId="30461FB6" w14:textId="77777777" w:rsidR="00F55877" w:rsidRDefault="00000000">
      <w:pPr>
        <w:spacing w:before="200" w:after="80"/>
        <w:rPr>
          <w:rFonts w:ascii="Open Sans" w:eastAsia="Open Sans" w:hAnsi="Open Sans" w:cs="Open Sans"/>
          <w:color w:val="004B88"/>
        </w:rPr>
      </w:pPr>
      <w:r>
        <w:rPr>
          <w:rFonts w:ascii="Open Sans" w:eastAsia="Open Sans" w:hAnsi="Open Sans" w:cs="Open Sans"/>
          <w:color w:val="004B88"/>
        </w:rPr>
        <w:t xml:space="preserve">This April, households faced unprecedented rises in their water bills, with an average annual increase of £123. Almost one in five (19%) </w:t>
      </w:r>
      <w:proofErr w:type="gramStart"/>
      <w:r>
        <w:rPr>
          <w:rFonts w:ascii="Open Sans" w:eastAsia="Open Sans" w:hAnsi="Open Sans" w:cs="Open Sans"/>
          <w:color w:val="004B88"/>
        </w:rPr>
        <w:t>bill payers</w:t>
      </w:r>
      <w:proofErr w:type="gramEnd"/>
      <w:r>
        <w:rPr>
          <w:rFonts w:ascii="Open Sans" w:eastAsia="Open Sans" w:hAnsi="Open Sans" w:cs="Open Sans"/>
          <w:color w:val="004B88"/>
        </w:rPr>
        <w:t xml:space="preserve"> struggled to afford their water bills in the last year. Nearly half (48%) of </w:t>
      </w:r>
      <w:proofErr w:type="gramStart"/>
      <w:r>
        <w:rPr>
          <w:rFonts w:ascii="Open Sans" w:eastAsia="Open Sans" w:hAnsi="Open Sans" w:cs="Open Sans"/>
          <w:color w:val="004B88"/>
        </w:rPr>
        <w:t>low income</w:t>
      </w:r>
      <w:proofErr w:type="gramEnd"/>
      <w:r>
        <w:rPr>
          <w:rFonts w:ascii="Open Sans" w:eastAsia="Open Sans" w:hAnsi="Open Sans" w:cs="Open Sans"/>
          <w:color w:val="004B88"/>
        </w:rPr>
        <w:t xml:space="preserve"> households are worried about being able to afford to pay their energy bills this coming winter. </w:t>
      </w:r>
    </w:p>
    <w:p w14:paraId="0D3B58FF" w14:textId="77777777" w:rsidR="00F55877" w:rsidRDefault="00000000">
      <w:pPr>
        <w:spacing w:before="200" w:after="80"/>
        <w:rPr>
          <w:rFonts w:ascii="Open Sans" w:eastAsia="Open Sans" w:hAnsi="Open Sans" w:cs="Open Sans"/>
          <w:color w:val="004B88"/>
        </w:rPr>
      </w:pPr>
      <w:r>
        <w:rPr>
          <w:rFonts w:ascii="Open Sans" w:eastAsia="Open Sans" w:hAnsi="Open Sans" w:cs="Open Sans"/>
          <w:color w:val="004B88"/>
        </w:rPr>
        <w:lastRenderedPageBreak/>
        <w:t xml:space="preserve">A targeted way to ease the pressure is through social tariffs and bill discounts, which cut costs for low-income households. We welcome changes to the Warm Home Discount which will help almost 3 million more households this winter and is an important step towards developing support that meets the scale of the challenge our clients face. Similar ambition is urgently needed in water, where bills are set to keep rising for the next four years. </w:t>
      </w:r>
    </w:p>
    <w:p w14:paraId="38D1D3E0" w14:textId="77777777" w:rsidR="00F55877" w:rsidRDefault="00000000">
      <w:pPr>
        <w:spacing w:before="200" w:after="80"/>
        <w:rPr>
          <w:rFonts w:ascii="Open Sans" w:eastAsia="Open Sans" w:hAnsi="Open Sans" w:cs="Open Sans"/>
          <w:color w:val="004B88"/>
        </w:rPr>
      </w:pPr>
      <w:r>
        <w:rPr>
          <w:rFonts w:ascii="Open Sans" w:eastAsia="Open Sans" w:hAnsi="Open Sans" w:cs="Open Sans"/>
          <w:color w:val="004B88"/>
        </w:rPr>
        <w:t>The government must consult on a national water social tariff this Autumn to replace this existing postcode lottery of support. There is a need to completely reform how support is delivered to improve low levels of uptake through better automation and data-sharing and, critically, making sure the level of support is generous enough to stop more people being pushed into poverty because of rising bills. To ensure this scheme is effective in shielding low-income households from rising bills and to manage the transition from the current system of support into the new system, it is essential that the government ensures that there is enough funding in the pot.</w:t>
      </w:r>
    </w:p>
    <w:p w14:paraId="64BA1CC7" w14:textId="77777777" w:rsidR="00F55877" w:rsidRDefault="00F55877">
      <w:pPr>
        <w:spacing w:line="240" w:lineRule="auto"/>
        <w:ind w:left="708"/>
        <w:jc w:val="both"/>
        <w:rPr>
          <w:rFonts w:ascii="Open Sans" w:eastAsia="Open Sans" w:hAnsi="Open Sans" w:cs="Open Sans"/>
          <w:color w:val="004B88"/>
        </w:rPr>
      </w:pPr>
    </w:p>
    <w:p w14:paraId="2FBDF240" w14:textId="77777777" w:rsidR="00F55877" w:rsidRDefault="00F55877">
      <w:pPr>
        <w:jc w:val="both"/>
        <w:rPr>
          <w:rFonts w:ascii="Open Sans" w:eastAsia="Open Sans" w:hAnsi="Open Sans" w:cs="Open Sans"/>
          <w:b/>
        </w:rPr>
      </w:pPr>
    </w:p>
    <w:p w14:paraId="25035459" w14:textId="77777777" w:rsidR="00F55877" w:rsidRDefault="00F55877">
      <w:pPr>
        <w:jc w:val="both"/>
        <w:rPr>
          <w:rFonts w:ascii="Open Sans" w:eastAsia="Open Sans" w:hAnsi="Open Sans" w:cs="Open Sans"/>
          <w:b/>
        </w:rPr>
      </w:pPr>
    </w:p>
    <w:p w14:paraId="0BC79EAC" w14:textId="77777777" w:rsidR="00F55877" w:rsidRDefault="00F55877">
      <w:pPr>
        <w:jc w:val="both"/>
        <w:rPr>
          <w:rFonts w:ascii="Open Sans" w:eastAsia="Open Sans" w:hAnsi="Open Sans" w:cs="Open Sans"/>
          <w:b/>
        </w:rPr>
      </w:pPr>
    </w:p>
    <w:p w14:paraId="041ED2C7" w14:textId="77777777" w:rsidR="00F55877" w:rsidRDefault="00F55877">
      <w:pPr>
        <w:jc w:val="both"/>
        <w:rPr>
          <w:rFonts w:ascii="Open Sans" w:eastAsia="Open Sans" w:hAnsi="Open Sans" w:cs="Open Sans"/>
          <w:b/>
        </w:rPr>
      </w:pPr>
    </w:p>
    <w:p w14:paraId="2D88C8CD" w14:textId="77777777" w:rsidR="00F55877" w:rsidRDefault="00F55877"/>
    <w:sectPr w:rsidR="00F5587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45A1086-3C35-4339-8164-3F7638BAF7BE}"/>
    <w:embedBold r:id="rId2" w:fontKey="{AB4F9129-61F9-496C-B3E2-B86CF43B625D}"/>
  </w:font>
  <w:font w:name="Calibri">
    <w:panose1 w:val="020F0502020204030204"/>
    <w:charset w:val="00"/>
    <w:family w:val="swiss"/>
    <w:pitch w:val="variable"/>
    <w:sig w:usb0="E4002EFF" w:usb1="C200247B" w:usb2="00000009" w:usb3="00000000" w:csb0="000001FF" w:csb1="00000000"/>
    <w:embedRegular r:id="rId3" w:fontKey="{E6A83ECB-C2B0-44D9-9928-F71011758500}"/>
  </w:font>
  <w:font w:name="Cambria">
    <w:panose1 w:val="02040503050406030204"/>
    <w:charset w:val="00"/>
    <w:family w:val="roman"/>
    <w:pitch w:val="variable"/>
    <w:sig w:usb0="E00006FF" w:usb1="420024FF" w:usb2="02000000" w:usb3="00000000" w:csb0="0000019F" w:csb1="00000000"/>
    <w:embedRegular r:id="rId4" w:fontKey="{E4492132-4C00-470F-A8E2-735911FD21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143264"/>
    <w:multiLevelType w:val="multilevel"/>
    <w:tmpl w:val="C18A5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8366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877"/>
    <w:rsid w:val="007C6271"/>
    <w:rsid w:val="00E10B0B"/>
    <w:rsid w:val="00F55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EB15A"/>
  <w15:docId w15:val="{16FD501C-EFE9-41EF-8DF1-1D80D529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commonslibrary.parliament.uk/research-briefings/sn0495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874</Words>
  <Characters>4982</Characters>
  <Application>Microsoft Office Word</Application>
  <DocSecurity>0</DocSecurity>
  <Lines>41</Lines>
  <Paragraphs>11</Paragraphs>
  <ScaleCrop>false</ScaleCrop>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Rovarn Wickremasinghe</dc:creator>
  <cp:lastModifiedBy>Rovarn W</cp:lastModifiedBy>
  <cp:revision>2</cp:revision>
  <dcterms:created xsi:type="dcterms:W3CDTF">2025-10-17T09:29:00Z</dcterms:created>
  <dcterms:modified xsi:type="dcterms:W3CDTF">2025-10-17T09:29:00Z</dcterms:modified>
</cp:coreProperties>
</file>